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7DA67" w14:textId="43B4ACD1" w:rsidR="002B2553" w:rsidRPr="002B2553" w:rsidRDefault="00D47CB3" w:rsidP="002B2553">
      <w:pPr>
        <w:rPr>
          <w:rFonts w:ascii="Times New Roman" w:hAnsi="Times New Roman"/>
          <w:sz w:val="24"/>
        </w:rPr>
      </w:pPr>
      <w:r>
        <w:rPr>
          <w:rFonts w:ascii="Times New Roman" w:hAnsi="Times New Roman"/>
          <w:i/>
          <w:iCs/>
          <w:sz w:val="24"/>
        </w:rPr>
        <w:t xml:space="preserve"> </w:t>
      </w:r>
    </w:p>
    <w:p w14:paraId="233C8D93" w14:textId="0092757F" w:rsidR="0030707B" w:rsidRPr="005C139B" w:rsidRDefault="00C6466B" w:rsidP="00C22FB4">
      <w:pPr>
        <w:spacing w:before="264" w:after="264" w:line="240" w:lineRule="auto"/>
        <w:rPr>
          <w:rFonts w:ascii="Times New Roman" w:eastAsia="Times New Roman" w:hAnsi="Times New Roman" w:cs="Times New Roman"/>
          <w:color w:val="252525"/>
          <w:sz w:val="24"/>
          <w:szCs w:val="24"/>
        </w:rPr>
      </w:pPr>
      <w:r w:rsidRPr="00C6466B">
        <w:rPr>
          <w:rFonts w:ascii="Times New Roman" w:eastAsia="Times New Roman" w:hAnsi="Times New Roman" w:cs="Times New Roman"/>
          <w:b/>
          <w:bCs/>
          <w:color w:val="252525"/>
          <w:sz w:val="24"/>
          <w:szCs w:val="24"/>
        </w:rPr>
        <w:t>Abstract:</w:t>
      </w:r>
      <w:r>
        <w:rPr>
          <w:rFonts w:ascii="Times New Roman" w:eastAsia="Times New Roman" w:hAnsi="Times New Roman" w:cs="Times New Roman"/>
          <w:b/>
          <w:bCs/>
          <w:color w:val="252525"/>
          <w:sz w:val="24"/>
          <w:szCs w:val="24"/>
        </w:rPr>
        <w:t xml:space="preserve"> </w:t>
      </w:r>
      <w:r w:rsidR="000C0047" w:rsidRPr="005C139B">
        <w:rPr>
          <w:rFonts w:ascii="Times New Roman" w:eastAsia="Times New Roman" w:hAnsi="Times New Roman" w:cs="Times New Roman"/>
          <w:color w:val="252525"/>
          <w:sz w:val="24"/>
          <w:szCs w:val="24"/>
        </w:rPr>
        <w:t>Business owners may be wondering whether a</w:t>
      </w:r>
      <w:r w:rsidR="00161EBF" w:rsidRPr="005C139B">
        <w:rPr>
          <w:rFonts w:ascii="Times New Roman" w:eastAsia="Times New Roman" w:hAnsi="Times New Roman" w:cs="Times New Roman"/>
          <w:color w:val="252525"/>
          <w:sz w:val="24"/>
          <w:szCs w:val="24"/>
        </w:rPr>
        <w:t>lternative energy technologies can help them manage their b</w:t>
      </w:r>
      <w:r w:rsidR="004B3166" w:rsidRPr="005C139B">
        <w:rPr>
          <w:rFonts w:ascii="Times New Roman" w:eastAsia="Times New Roman" w:hAnsi="Times New Roman" w:cs="Times New Roman"/>
          <w:color w:val="252525"/>
          <w:sz w:val="24"/>
          <w:szCs w:val="24"/>
        </w:rPr>
        <w:t xml:space="preserve">usiness </w:t>
      </w:r>
      <w:r w:rsidR="002B4180" w:rsidRPr="005C139B">
        <w:rPr>
          <w:rFonts w:ascii="Times New Roman" w:eastAsia="Times New Roman" w:hAnsi="Times New Roman" w:cs="Times New Roman"/>
          <w:color w:val="252525"/>
          <w:sz w:val="24"/>
          <w:szCs w:val="24"/>
        </w:rPr>
        <w:t>energy costs. A valuable federal income tax benefit</w:t>
      </w:r>
      <w:r w:rsidR="005A3F11" w:rsidRPr="005C139B">
        <w:rPr>
          <w:rFonts w:ascii="Times New Roman" w:eastAsia="Times New Roman" w:hAnsi="Times New Roman" w:cs="Times New Roman"/>
          <w:color w:val="252525"/>
          <w:sz w:val="24"/>
          <w:szCs w:val="24"/>
        </w:rPr>
        <w:t xml:space="preserve"> — in the form of a </w:t>
      </w:r>
      <w:r w:rsidR="00A64E80" w:rsidRPr="005C139B">
        <w:rPr>
          <w:rFonts w:ascii="Times New Roman" w:eastAsia="Times New Roman" w:hAnsi="Times New Roman" w:cs="Times New Roman"/>
          <w:color w:val="252525"/>
          <w:sz w:val="24"/>
          <w:szCs w:val="24"/>
        </w:rPr>
        <w:t>business energy credit —</w:t>
      </w:r>
      <w:r w:rsidR="002B4180" w:rsidRPr="005C139B">
        <w:rPr>
          <w:rFonts w:ascii="Times New Roman" w:eastAsia="Times New Roman" w:hAnsi="Times New Roman" w:cs="Times New Roman"/>
          <w:color w:val="252525"/>
          <w:sz w:val="24"/>
          <w:szCs w:val="24"/>
        </w:rPr>
        <w:t xml:space="preserve"> applies to </w:t>
      </w:r>
      <w:r w:rsidR="00176F58" w:rsidRPr="005C139B">
        <w:rPr>
          <w:rFonts w:ascii="Times New Roman" w:eastAsia="Times New Roman" w:hAnsi="Times New Roman" w:cs="Times New Roman"/>
          <w:color w:val="252525"/>
          <w:sz w:val="24"/>
          <w:szCs w:val="24"/>
        </w:rPr>
        <w:t>the acquisition of many types of alternative energy property. The credit is intended primarily for business users of alternative energ</w:t>
      </w:r>
      <w:r w:rsidR="00FA217C" w:rsidRPr="005C139B">
        <w:rPr>
          <w:rFonts w:ascii="Times New Roman" w:eastAsia="Times New Roman" w:hAnsi="Times New Roman" w:cs="Times New Roman"/>
          <w:color w:val="252525"/>
          <w:sz w:val="24"/>
          <w:szCs w:val="24"/>
        </w:rPr>
        <w:t>y. This article provides details</w:t>
      </w:r>
      <w:r w:rsidR="00A16821">
        <w:rPr>
          <w:rFonts w:ascii="Times New Roman" w:eastAsia="Times New Roman" w:hAnsi="Times New Roman" w:cs="Times New Roman"/>
          <w:color w:val="252525"/>
          <w:sz w:val="24"/>
          <w:szCs w:val="24"/>
        </w:rPr>
        <w:t>.</w:t>
      </w:r>
      <w:r w:rsidR="0030707B" w:rsidRPr="005C139B">
        <w:rPr>
          <w:rFonts w:ascii="Times New Roman" w:eastAsia="Times New Roman" w:hAnsi="Times New Roman" w:cs="Times New Roman"/>
          <w:color w:val="252525"/>
          <w:sz w:val="24"/>
          <w:szCs w:val="24"/>
        </w:rPr>
        <w:t xml:space="preserve"> </w:t>
      </w:r>
    </w:p>
    <w:p w14:paraId="78960E9F" w14:textId="768A424A" w:rsidR="00C22FB4" w:rsidRPr="00B8152E" w:rsidRDefault="00F00A8C" w:rsidP="00C22FB4">
      <w:pPr>
        <w:spacing w:before="264" w:after="264" w:line="240" w:lineRule="auto"/>
        <w:rPr>
          <w:rFonts w:ascii="Times New Roman" w:eastAsia="Times New Roman" w:hAnsi="Times New Roman" w:cs="Times New Roman"/>
          <w:color w:val="252525"/>
          <w:sz w:val="28"/>
          <w:szCs w:val="28"/>
        </w:rPr>
      </w:pPr>
      <w:r w:rsidRPr="00B8152E">
        <w:rPr>
          <w:rFonts w:ascii="Times New Roman" w:eastAsia="Times New Roman" w:hAnsi="Times New Roman" w:cs="Times New Roman"/>
          <w:b/>
          <w:bCs/>
          <w:color w:val="252525"/>
          <w:sz w:val="28"/>
          <w:szCs w:val="28"/>
        </w:rPr>
        <w:t>U</w:t>
      </w:r>
      <w:r w:rsidR="00F17C8C" w:rsidRPr="00B8152E">
        <w:rPr>
          <w:rFonts w:ascii="Times New Roman" w:eastAsia="Times New Roman" w:hAnsi="Times New Roman" w:cs="Times New Roman"/>
          <w:b/>
          <w:bCs/>
          <w:color w:val="252525"/>
          <w:sz w:val="28"/>
          <w:szCs w:val="28"/>
        </w:rPr>
        <w:t>sing alternative energy</w:t>
      </w:r>
      <w:r w:rsidRPr="00B8152E">
        <w:rPr>
          <w:rFonts w:ascii="Times New Roman" w:eastAsia="Times New Roman" w:hAnsi="Times New Roman" w:cs="Times New Roman"/>
          <w:b/>
          <w:bCs/>
          <w:color w:val="252525"/>
          <w:sz w:val="28"/>
          <w:szCs w:val="28"/>
        </w:rPr>
        <w:t xml:space="preserve"> </w:t>
      </w:r>
      <w:r w:rsidR="007866F9" w:rsidRPr="00B8152E">
        <w:rPr>
          <w:rFonts w:ascii="Times New Roman" w:eastAsia="Times New Roman" w:hAnsi="Times New Roman" w:cs="Times New Roman"/>
          <w:b/>
          <w:bCs/>
          <w:color w:val="252525"/>
          <w:sz w:val="28"/>
          <w:szCs w:val="28"/>
        </w:rPr>
        <w:t xml:space="preserve">for business </w:t>
      </w:r>
      <w:r w:rsidRPr="00B8152E">
        <w:rPr>
          <w:rFonts w:ascii="Times New Roman" w:eastAsia="Times New Roman" w:hAnsi="Times New Roman" w:cs="Times New Roman"/>
          <w:b/>
          <w:bCs/>
          <w:color w:val="252525"/>
          <w:sz w:val="28"/>
          <w:szCs w:val="28"/>
        </w:rPr>
        <w:t>can</w:t>
      </w:r>
      <w:r w:rsidR="007866F9" w:rsidRPr="00B8152E">
        <w:rPr>
          <w:rFonts w:ascii="Times New Roman" w:eastAsia="Times New Roman" w:hAnsi="Times New Roman" w:cs="Times New Roman"/>
          <w:b/>
          <w:bCs/>
          <w:color w:val="252525"/>
          <w:sz w:val="28"/>
          <w:szCs w:val="28"/>
        </w:rPr>
        <w:t xml:space="preserve"> bring tax benefits</w:t>
      </w:r>
    </w:p>
    <w:p w14:paraId="432C1070" w14:textId="0DB24B60" w:rsidR="00C22FB4" w:rsidRPr="005C139B" w:rsidRDefault="00CB3E05" w:rsidP="00C22FB4">
      <w:pPr>
        <w:spacing w:before="264" w:after="264" w:line="240" w:lineRule="auto"/>
        <w:rPr>
          <w:rFonts w:ascii="Times New Roman" w:eastAsia="Times New Roman" w:hAnsi="Times New Roman" w:cs="Times New Roman"/>
          <w:color w:val="252525"/>
          <w:sz w:val="24"/>
          <w:szCs w:val="24"/>
        </w:rPr>
      </w:pPr>
      <w:r w:rsidRPr="005C139B">
        <w:rPr>
          <w:rFonts w:ascii="Times New Roman" w:eastAsia="Times New Roman" w:hAnsi="Times New Roman" w:cs="Times New Roman"/>
          <w:color w:val="252525"/>
          <w:sz w:val="24"/>
          <w:szCs w:val="24"/>
        </w:rPr>
        <w:t>If you’re a business own</w:t>
      </w:r>
      <w:r w:rsidR="00AB1182" w:rsidRPr="005C139B">
        <w:rPr>
          <w:rFonts w:ascii="Times New Roman" w:eastAsia="Times New Roman" w:hAnsi="Times New Roman" w:cs="Times New Roman"/>
          <w:color w:val="252525"/>
          <w:sz w:val="24"/>
          <w:szCs w:val="24"/>
        </w:rPr>
        <w:t>er</w:t>
      </w:r>
      <w:r w:rsidRPr="005C139B">
        <w:rPr>
          <w:rFonts w:ascii="Times New Roman" w:eastAsia="Times New Roman" w:hAnsi="Times New Roman" w:cs="Times New Roman"/>
          <w:color w:val="252525"/>
          <w:sz w:val="24"/>
          <w:szCs w:val="24"/>
        </w:rPr>
        <w:t xml:space="preserve">, </w:t>
      </w:r>
      <w:r w:rsidR="00205881" w:rsidRPr="005C139B">
        <w:rPr>
          <w:rFonts w:ascii="Times New Roman" w:eastAsia="Times New Roman" w:hAnsi="Times New Roman" w:cs="Times New Roman"/>
          <w:color w:val="252525"/>
          <w:sz w:val="24"/>
          <w:szCs w:val="24"/>
        </w:rPr>
        <w:t>you might be wondering if</w:t>
      </w:r>
      <w:r w:rsidR="00C50935" w:rsidRPr="005C139B">
        <w:rPr>
          <w:rFonts w:ascii="Times New Roman" w:eastAsia="Times New Roman" w:hAnsi="Times New Roman" w:cs="Times New Roman"/>
          <w:color w:val="252525"/>
          <w:sz w:val="24"/>
          <w:szCs w:val="24"/>
        </w:rPr>
        <w:t xml:space="preserve"> using alternative energy technologies in your company can help you manage energy costs</w:t>
      </w:r>
      <w:r w:rsidR="00A42758" w:rsidRPr="005C139B">
        <w:rPr>
          <w:rFonts w:ascii="Times New Roman" w:eastAsia="Times New Roman" w:hAnsi="Times New Roman" w:cs="Times New Roman"/>
          <w:color w:val="252525"/>
          <w:sz w:val="24"/>
          <w:szCs w:val="24"/>
        </w:rPr>
        <w:t xml:space="preserve"> </w:t>
      </w:r>
      <w:r w:rsidR="006157A6" w:rsidRPr="005C139B">
        <w:rPr>
          <w:rFonts w:ascii="Times New Roman" w:eastAsia="Times New Roman" w:hAnsi="Times New Roman" w:cs="Times New Roman"/>
          <w:color w:val="252525"/>
          <w:sz w:val="24"/>
          <w:szCs w:val="24"/>
        </w:rPr>
        <w:t xml:space="preserve">and </w:t>
      </w:r>
      <w:r w:rsidR="00A42758" w:rsidRPr="005C139B">
        <w:rPr>
          <w:rFonts w:ascii="Times New Roman" w:eastAsia="Times New Roman" w:hAnsi="Times New Roman" w:cs="Times New Roman"/>
          <w:color w:val="252525"/>
          <w:sz w:val="24"/>
          <w:szCs w:val="24"/>
        </w:rPr>
        <w:t xml:space="preserve">improve your bottom line. </w:t>
      </w:r>
      <w:r w:rsidR="00C50935" w:rsidRPr="005C139B">
        <w:rPr>
          <w:rFonts w:ascii="Times New Roman" w:eastAsia="Times New Roman" w:hAnsi="Times New Roman" w:cs="Times New Roman"/>
          <w:color w:val="252525"/>
          <w:sz w:val="24"/>
          <w:szCs w:val="24"/>
        </w:rPr>
        <w:t xml:space="preserve"> </w:t>
      </w:r>
      <w:r w:rsidR="00C22FB4" w:rsidRPr="005C139B">
        <w:rPr>
          <w:rFonts w:ascii="Times New Roman" w:eastAsia="Times New Roman" w:hAnsi="Times New Roman" w:cs="Times New Roman"/>
          <w:color w:val="252525"/>
          <w:sz w:val="24"/>
          <w:szCs w:val="24"/>
        </w:rPr>
        <w:t>If</w:t>
      </w:r>
      <w:r w:rsidR="00123EF5" w:rsidRPr="005C139B">
        <w:rPr>
          <w:rFonts w:ascii="Times New Roman" w:eastAsia="Times New Roman" w:hAnsi="Times New Roman" w:cs="Times New Roman"/>
          <w:color w:val="252525"/>
          <w:sz w:val="24"/>
          <w:szCs w:val="24"/>
        </w:rPr>
        <w:t xml:space="preserve"> this </w:t>
      </w:r>
      <w:r w:rsidR="00BE0E05">
        <w:rPr>
          <w:rFonts w:ascii="Times New Roman" w:eastAsia="Times New Roman" w:hAnsi="Times New Roman" w:cs="Times New Roman"/>
          <w:color w:val="252525"/>
          <w:sz w:val="24"/>
          <w:szCs w:val="24"/>
        </w:rPr>
        <w:t xml:space="preserve">sounds interesting, </w:t>
      </w:r>
      <w:r w:rsidR="00123EF5" w:rsidRPr="005C139B">
        <w:rPr>
          <w:rFonts w:ascii="Times New Roman" w:eastAsia="Times New Roman" w:hAnsi="Times New Roman" w:cs="Times New Roman"/>
          <w:color w:val="252525"/>
          <w:sz w:val="24"/>
          <w:szCs w:val="24"/>
        </w:rPr>
        <w:t xml:space="preserve">you should know </w:t>
      </w:r>
      <w:r w:rsidR="00C22FB4" w:rsidRPr="005C139B">
        <w:rPr>
          <w:rFonts w:ascii="Times New Roman" w:eastAsia="Times New Roman" w:hAnsi="Times New Roman" w:cs="Times New Roman"/>
          <w:color w:val="252525"/>
          <w:sz w:val="24"/>
          <w:szCs w:val="24"/>
        </w:rPr>
        <w:t>there’s</w:t>
      </w:r>
      <w:r w:rsidR="006B2292">
        <w:rPr>
          <w:rFonts w:ascii="Times New Roman" w:eastAsia="Times New Roman" w:hAnsi="Times New Roman" w:cs="Times New Roman"/>
          <w:color w:val="252525"/>
          <w:sz w:val="24"/>
          <w:szCs w:val="24"/>
        </w:rPr>
        <w:t xml:space="preserve"> also </w:t>
      </w:r>
      <w:r w:rsidR="00C22FB4" w:rsidRPr="005C139B">
        <w:rPr>
          <w:rFonts w:ascii="Times New Roman" w:eastAsia="Times New Roman" w:hAnsi="Times New Roman" w:cs="Times New Roman"/>
          <w:color w:val="252525"/>
          <w:sz w:val="24"/>
          <w:szCs w:val="24"/>
        </w:rPr>
        <w:t xml:space="preserve">a valuable federal income tax benefit (the business energy credit) that applies to the acquisition of many types of alternative energy property. </w:t>
      </w:r>
    </w:p>
    <w:p w14:paraId="0C7F83D7" w14:textId="10547391" w:rsidR="00C22FB4" w:rsidRPr="005C139B" w:rsidRDefault="00C22FB4" w:rsidP="00C22FB4">
      <w:pPr>
        <w:spacing w:before="264" w:after="264" w:line="240" w:lineRule="auto"/>
        <w:rPr>
          <w:rFonts w:ascii="Times New Roman" w:eastAsia="Times New Roman" w:hAnsi="Times New Roman" w:cs="Times New Roman"/>
          <w:color w:val="252525"/>
          <w:sz w:val="24"/>
          <w:szCs w:val="24"/>
        </w:rPr>
      </w:pPr>
      <w:r w:rsidRPr="005C139B">
        <w:rPr>
          <w:rFonts w:ascii="Times New Roman" w:eastAsia="Times New Roman" w:hAnsi="Times New Roman" w:cs="Times New Roman"/>
          <w:color w:val="252525"/>
          <w:sz w:val="24"/>
          <w:szCs w:val="24"/>
        </w:rPr>
        <w:t>The credit is intended primarily for business users</w:t>
      </w:r>
      <w:r w:rsidR="00123EF5" w:rsidRPr="005C139B">
        <w:rPr>
          <w:rFonts w:ascii="Times New Roman" w:eastAsia="Times New Roman" w:hAnsi="Times New Roman" w:cs="Times New Roman"/>
          <w:color w:val="252525"/>
          <w:sz w:val="24"/>
          <w:szCs w:val="24"/>
        </w:rPr>
        <w:t xml:space="preserve">.  </w:t>
      </w:r>
      <w:r w:rsidR="008D794C" w:rsidRPr="005C139B">
        <w:rPr>
          <w:rFonts w:ascii="Times New Roman" w:eastAsia="Times New Roman" w:hAnsi="Times New Roman" w:cs="Times New Roman"/>
          <w:color w:val="252525"/>
          <w:sz w:val="24"/>
          <w:szCs w:val="24"/>
        </w:rPr>
        <w:t>But be aware</w:t>
      </w:r>
      <w:r w:rsidR="007A6425">
        <w:rPr>
          <w:rFonts w:ascii="Times New Roman" w:eastAsia="Times New Roman" w:hAnsi="Times New Roman" w:cs="Times New Roman"/>
          <w:color w:val="252525"/>
          <w:sz w:val="24"/>
          <w:szCs w:val="24"/>
        </w:rPr>
        <w:t xml:space="preserve"> that</w:t>
      </w:r>
      <w:r w:rsidR="008D794C" w:rsidRPr="005C139B">
        <w:rPr>
          <w:rFonts w:ascii="Times New Roman" w:eastAsia="Times New Roman" w:hAnsi="Times New Roman" w:cs="Times New Roman"/>
          <w:color w:val="252525"/>
          <w:sz w:val="24"/>
          <w:szCs w:val="24"/>
        </w:rPr>
        <w:t xml:space="preserve"> </w:t>
      </w:r>
      <w:r w:rsidRPr="005C139B">
        <w:rPr>
          <w:rFonts w:ascii="Times New Roman" w:eastAsia="Times New Roman" w:hAnsi="Times New Roman" w:cs="Times New Roman"/>
          <w:color w:val="252525"/>
          <w:sz w:val="24"/>
          <w:szCs w:val="24"/>
        </w:rPr>
        <w:t>other energy tax breaks apply if you use alternative energy in your home or</w:t>
      </w:r>
      <w:r w:rsidR="008C0028" w:rsidRPr="005C139B">
        <w:rPr>
          <w:rFonts w:ascii="Times New Roman" w:eastAsia="Times New Roman" w:hAnsi="Times New Roman" w:cs="Times New Roman"/>
          <w:color w:val="252525"/>
          <w:sz w:val="24"/>
          <w:szCs w:val="24"/>
        </w:rPr>
        <w:t xml:space="preserve"> if you</w:t>
      </w:r>
      <w:r w:rsidRPr="005C139B">
        <w:rPr>
          <w:rFonts w:ascii="Times New Roman" w:eastAsia="Times New Roman" w:hAnsi="Times New Roman" w:cs="Times New Roman"/>
          <w:color w:val="252525"/>
          <w:sz w:val="24"/>
          <w:szCs w:val="24"/>
        </w:rPr>
        <w:t xml:space="preserve"> produce energy for sale.</w:t>
      </w:r>
    </w:p>
    <w:p w14:paraId="7D47DA8D" w14:textId="4E276857" w:rsidR="00640860" w:rsidRPr="005C139B" w:rsidRDefault="00025DC9">
      <w:pPr>
        <w:rPr>
          <w:rFonts w:ascii="Times New Roman" w:hAnsi="Times New Roman" w:cs="Times New Roman"/>
          <w:b/>
          <w:bCs/>
          <w:sz w:val="24"/>
          <w:szCs w:val="24"/>
        </w:rPr>
      </w:pPr>
      <w:r w:rsidRPr="005C139B">
        <w:rPr>
          <w:rFonts w:ascii="Times New Roman" w:hAnsi="Times New Roman" w:cs="Times New Roman"/>
          <w:b/>
          <w:bCs/>
          <w:sz w:val="24"/>
          <w:szCs w:val="24"/>
        </w:rPr>
        <w:t>What property is eligible</w:t>
      </w:r>
      <w:r w:rsidR="00BF73F0" w:rsidRPr="005C139B">
        <w:rPr>
          <w:rFonts w:ascii="Times New Roman" w:hAnsi="Times New Roman" w:cs="Times New Roman"/>
          <w:b/>
          <w:bCs/>
          <w:sz w:val="24"/>
          <w:szCs w:val="24"/>
        </w:rPr>
        <w:t>?</w:t>
      </w:r>
    </w:p>
    <w:p w14:paraId="250723D1" w14:textId="26C2B891" w:rsidR="00ED77C1" w:rsidRPr="005C139B" w:rsidRDefault="00C11050" w:rsidP="00ED77C1">
      <w:pPr>
        <w:rPr>
          <w:rFonts w:ascii="Times New Roman" w:eastAsia="Times New Roman" w:hAnsi="Times New Roman" w:cs="Times New Roman"/>
          <w:color w:val="252525"/>
          <w:sz w:val="24"/>
          <w:szCs w:val="24"/>
        </w:rPr>
      </w:pPr>
      <w:r w:rsidRPr="005C139B">
        <w:rPr>
          <w:rFonts w:ascii="Times New Roman" w:hAnsi="Times New Roman" w:cs="Times New Roman"/>
          <w:sz w:val="24"/>
          <w:szCs w:val="24"/>
        </w:rPr>
        <w:t xml:space="preserve">The business energy credit is equal to 30% of the following </w:t>
      </w:r>
      <w:r w:rsidR="001E230F" w:rsidRPr="005C139B">
        <w:rPr>
          <w:rFonts w:ascii="Times New Roman" w:hAnsi="Times New Roman" w:cs="Times New Roman"/>
          <w:sz w:val="24"/>
          <w:szCs w:val="24"/>
        </w:rPr>
        <w:t>types of property</w:t>
      </w:r>
      <w:r w:rsidR="000D0427">
        <w:rPr>
          <w:rFonts w:ascii="Times New Roman" w:hAnsi="Times New Roman" w:cs="Times New Roman"/>
          <w:sz w:val="24"/>
          <w:szCs w:val="24"/>
        </w:rPr>
        <w:t xml:space="preserve"> (with the caveat that </w:t>
      </w:r>
      <w:r w:rsidR="00144A08">
        <w:rPr>
          <w:rFonts w:ascii="Times New Roman" w:hAnsi="Times New Roman" w:cs="Times New Roman"/>
          <w:sz w:val="24"/>
          <w:szCs w:val="24"/>
        </w:rPr>
        <w:t xml:space="preserve">construction </w:t>
      </w:r>
      <w:r w:rsidR="003079F4">
        <w:rPr>
          <w:rFonts w:ascii="Times New Roman" w:hAnsi="Times New Roman" w:cs="Times New Roman"/>
          <w:sz w:val="24"/>
          <w:szCs w:val="24"/>
        </w:rPr>
        <w:t>must be</w:t>
      </w:r>
      <w:r w:rsidR="00144A08">
        <w:rPr>
          <w:rFonts w:ascii="Times New Roman" w:hAnsi="Times New Roman" w:cs="Times New Roman"/>
          <w:sz w:val="24"/>
          <w:szCs w:val="24"/>
        </w:rPr>
        <w:t xml:space="preserve"> begun</w:t>
      </w:r>
      <w:r w:rsidR="000D0427">
        <w:rPr>
          <w:rFonts w:ascii="Times New Roman" w:hAnsi="Times New Roman" w:cs="Times New Roman"/>
          <w:sz w:val="24"/>
          <w:szCs w:val="24"/>
        </w:rPr>
        <w:t xml:space="preserve"> before 2024)</w:t>
      </w:r>
      <w:r w:rsidR="001E230F" w:rsidRPr="005C139B">
        <w:rPr>
          <w:rFonts w:ascii="Times New Roman" w:hAnsi="Times New Roman" w:cs="Times New Roman"/>
          <w:sz w:val="24"/>
          <w:szCs w:val="24"/>
        </w:rPr>
        <w:t>:</w:t>
      </w:r>
    </w:p>
    <w:p w14:paraId="1DF5CB17" w14:textId="0DB901F8" w:rsidR="00ED77C1" w:rsidRPr="005C139B" w:rsidRDefault="00ED77C1" w:rsidP="00ED77C1">
      <w:pPr>
        <w:numPr>
          <w:ilvl w:val="0"/>
          <w:numId w:val="1"/>
        </w:numPr>
        <w:spacing w:before="72" w:after="72" w:line="240" w:lineRule="auto"/>
        <w:ind w:left="480"/>
        <w:rPr>
          <w:rFonts w:ascii="Times New Roman" w:eastAsia="Times New Roman" w:hAnsi="Times New Roman" w:cs="Times New Roman"/>
          <w:color w:val="252525"/>
          <w:sz w:val="24"/>
          <w:szCs w:val="24"/>
        </w:rPr>
      </w:pPr>
      <w:r w:rsidRPr="005C139B">
        <w:rPr>
          <w:rFonts w:ascii="Times New Roman" w:eastAsia="Times New Roman" w:hAnsi="Times New Roman" w:cs="Times New Roman"/>
          <w:color w:val="252525"/>
          <w:sz w:val="24"/>
          <w:szCs w:val="24"/>
        </w:rPr>
        <w:t>Equipment</w:t>
      </w:r>
      <w:r w:rsidR="000D0427">
        <w:rPr>
          <w:rFonts w:ascii="Times New Roman" w:eastAsia="Times New Roman" w:hAnsi="Times New Roman" w:cs="Times New Roman"/>
          <w:color w:val="252525"/>
          <w:sz w:val="24"/>
          <w:szCs w:val="24"/>
        </w:rPr>
        <w:t xml:space="preserve"> </w:t>
      </w:r>
      <w:r w:rsidRPr="005C139B">
        <w:rPr>
          <w:rFonts w:ascii="Times New Roman" w:eastAsia="Times New Roman" w:hAnsi="Times New Roman" w:cs="Times New Roman"/>
          <w:color w:val="252525"/>
          <w:sz w:val="24"/>
          <w:szCs w:val="24"/>
        </w:rPr>
        <w:t xml:space="preserve">that uses solar energy to generate electricity for heating and cooling structures, for hot water, or </w:t>
      </w:r>
      <w:r w:rsidR="000D0427">
        <w:rPr>
          <w:rFonts w:ascii="Times New Roman" w:eastAsia="Times New Roman" w:hAnsi="Times New Roman" w:cs="Times New Roman"/>
          <w:color w:val="252525"/>
          <w:sz w:val="24"/>
          <w:szCs w:val="24"/>
        </w:rPr>
        <w:t xml:space="preserve">for </w:t>
      </w:r>
      <w:r w:rsidRPr="005C139B">
        <w:rPr>
          <w:rFonts w:ascii="Times New Roman" w:eastAsia="Times New Roman" w:hAnsi="Times New Roman" w:cs="Times New Roman"/>
          <w:color w:val="252525"/>
          <w:sz w:val="24"/>
          <w:szCs w:val="24"/>
        </w:rPr>
        <w:t>heat used in industrial or commercial processes (except for swimming pools)</w:t>
      </w:r>
      <w:r w:rsidR="003079F4">
        <w:rPr>
          <w:rFonts w:ascii="Times New Roman" w:eastAsia="Times New Roman" w:hAnsi="Times New Roman" w:cs="Times New Roman"/>
          <w:color w:val="252525"/>
          <w:sz w:val="24"/>
          <w:szCs w:val="24"/>
        </w:rPr>
        <w:t>,</w:t>
      </w:r>
      <w:r w:rsidRPr="005C139B">
        <w:rPr>
          <w:rFonts w:ascii="Times New Roman" w:eastAsia="Times New Roman" w:hAnsi="Times New Roman" w:cs="Times New Roman"/>
          <w:color w:val="252525"/>
          <w:sz w:val="24"/>
          <w:szCs w:val="24"/>
        </w:rPr>
        <w:t xml:space="preserve"> </w:t>
      </w:r>
    </w:p>
    <w:p w14:paraId="797CF3BD" w14:textId="225FF1EB" w:rsidR="00ED77C1" w:rsidRPr="005C139B" w:rsidRDefault="00ED77C1" w:rsidP="00ED77C1">
      <w:pPr>
        <w:numPr>
          <w:ilvl w:val="0"/>
          <w:numId w:val="1"/>
        </w:numPr>
        <w:spacing w:before="72" w:after="72" w:line="240" w:lineRule="auto"/>
        <w:ind w:left="480"/>
        <w:rPr>
          <w:rFonts w:ascii="Times New Roman" w:eastAsia="Times New Roman" w:hAnsi="Times New Roman" w:cs="Times New Roman"/>
          <w:color w:val="252525"/>
          <w:sz w:val="24"/>
          <w:szCs w:val="24"/>
        </w:rPr>
      </w:pPr>
      <w:r w:rsidRPr="005C139B">
        <w:rPr>
          <w:rFonts w:ascii="Times New Roman" w:eastAsia="Times New Roman" w:hAnsi="Times New Roman" w:cs="Times New Roman"/>
          <w:color w:val="252525"/>
          <w:sz w:val="24"/>
          <w:szCs w:val="24"/>
        </w:rPr>
        <w:t>Equipment</w:t>
      </w:r>
      <w:r w:rsidR="000D0427">
        <w:rPr>
          <w:rFonts w:ascii="Times New Roman" w:eastAsia="Times New Roman" w:hAnsi="Times New Roman" w:cs="Times New Roman"/>
          <w:color w:val="252525"/>
          <w:sz w:val="24"/>
          <w:szCs w:val="24"/>
        </w:rPr>
        <w:t xml:space="preserve"> that uses</w:t>
      </w:r>
      <w:r w:rsidRPr="005C139B">
        <w:rPr>
          <w:rFonts w:ascii="Times New Roman" w:eastAsia="Times New Roman" w:hAnsi="Times New Roman" w:cs="Times New Roman"/>
          <w:color w:val="252525"/>
          <w:sz w:val="24"/>
          <w:szCs w:val="24"/>
        </w:rPr>
        <w:t xml:space="preserve"> solar energy to illuminate a structure inside using fiber-optic</w:t>
      </w:r>
      <w:r w:rsidR="000D0427">
        <w:rPr>
          <w:rFonts w:ascii="Times New Roman" w:eastAsia="Times New Roman" w:hAnsi="Times New Roman" w:cs="Times New Roman"/>
          <w:color w:val="252525"/>
          <w:sz w:val="24"/>
          <w:szCs w:val="24"/>
        </w:rPr>
        <w:t>-</w:t>
      </w:r>
      <w:r w:rsidRPr="005C139B">
        <w:rPr>
          <w:rFonts w:ascii="Times New Roman" w:eastAsia="Times New Roman" w:hAnsi="Times New Roman" w:cs="Times New Roman"/>
          <w:color w:val="252525"/>
          <w:sz w:val="24"/>
          <w:szCs w:val="24"/>
        </w:rPr>
        <w:t>distributed sunlight</w:t>
      </w:r>
      <w:r w:rsidR="003079F4">
        <w:rPr>
          <w:rFonts w:ascii="Times New Roman" w:eastAsia="Times New Roman" w:hAnsi="Times New Roman" w:cs="Times New Roman"/>
          <w:color w:val="252525"/>
          <w:sz w:val="24"/>
          <w:szCs w:val="24"/>
        </w:rPr>
        <w:t>,</w:t>
      </w:r>
    </w:p>
    <w:p w14:paraId="499F9751" w14:textId="6737FD84" w:rsidR="00ED77C1" w:rsidRPr="005C139B" w:rsidRDefault="00144A08" w:rsidP="00ED77C1">
      <w:pPr>
        <w:numPr>
          <w:ilvl w:val="0"/>
          <w:numId w:val="1"/>
        </w:numPr>
        <w:spacing w:before="72" w:after="72" w:line="240" w:lineRule="auto"/>
        <w:ind w:left="480"/>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Specific</w:t>
      </w:r>
      <w:r w:rsidRPr="005C139B">
        <w:rPr>
          <w:rFonts w:ascii="Times New Roman" w:eastAsia="Times New Roman" w:hAnsi="Times New Roman" w:cs="Times New Roman"/>
          <w:color w:val="252525"/>
          <w:sz w:val="24"/>
          <w:szCs w:val="24"/>
        </w:rPr>
        <w:t xml:space="preserve"> </w:t>
      </w:r>
      <w:r w:rsidR="00ED77C1" w:rsidRPr="005C139B">
        <w:rPr>
          <w:rFonts w:ascii="Times New Roman" w:eastAsia="Times New Roman" w:hAnsi="Times New Roman" w:cs="Times New Roman"/>
          <w:color w:val="252525"/>
          <w:sz w:val="24"/>
          <w:szCs w:val="24"/>
        </w:rPr>
        <w:t>fuel-cell property</w:t>
      </w:r>
      <w:r w:rsidR="003079F4">
        <w:rPr>
          <w:rFonts w:ascii="Times New Roman" w:eastAsia="Times New Roman" w:hAnsi="Times New Roman" w:cs="Times New Roman"/>
          <w:color w:val="252525"/>
          <w:sz w:val="24"/>
          <w:szCs w:val="24"/>
        </w:rPr>
        <w:t>,</w:t>
      </w:r>
      <w:r w:rsidR="00ED77C1" w:rsidRPr="005C139B">
        <w:rPr>
          <w:rFonts w:ascii="Times New Roman" w:eastAsia="Times New Roman" w:hAnsi="Times New Roman" w:cs="Times New Roman"/>
          <w:color w:val="252525"/>
          <w:sz w:val="24"/>
          <w:szCs w:val="24"/>
        </w:rPr>
        <w:t xml:space="preserve"> </w:t>
      </w:r>
    </w:p>
    <w:p w14:paraId="0A7CC96F" w14:textId="473BAEE7" w:rsidR="00ED77C1" w:rsidRPr="005C139B" w:rsidRDefault="003079F4" w:rsidP="00ED77C1">
      <w:pPr>
        <w:numPr>
          <w:ilvl w:val="0"/>
          <w:numId w:val="1"/>
        </w:numPr>
        <w:spacing w:before="72" w:after="72" w:line="240" w:lineRule="auto"/>
        <w:ind w:left="480"/>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Certain</w:t>
      </w:r>
      <w:r w:rsidR="00144A08" w:rsidRPr="005C139B">
        <w:rPr>
          <w:rFonts w:ascii="Times New Roman" w:eastAsia="Times New Roman" w:hAnsi="Times New Roman" w:cs="Times New Roman"/>
          <w:color w:val="252525"/>
          <w:sz w:val="24"/>
          <w:szCs w:val="24"/>
        </w:rPr>
        <w:t xml:space="preserve"> </w:t>
      </w:r>
      <w:r w:rsidR="00ED77C1" w:rsidRPr="005C139B">
        <w:rPr>
          <w:rFonts w:ascii="Times New Roman" w:eastAsia="Times New Roman" w:hAnsi="Times New Roman" w:cs="Times New Roman"/>
          <w:color w:val="252525"/>
          <w:sz w:val="24"/>
          <w:szCs w:val="24"/>
        </w:rPr>
        <w:t>small wind energy property</w:t>
      </w:r>
      <w:r>
        <w:rPr>
          <w:rFonts w:ascii="Times New Roman" w:eastAsia="Times New Roman" w:hAnsi="Times New Roman" w:cs="Times New Roman"/>
          <w:color w:val="252525"/>
          <w:sz w:val="24"/>
          <w:szCs w:val="24"/>
        </w:rPr>
        <w:t>,</w:t>
      </w:r>
      <w:r w:rsidR="00ED77C1" w:rsidRPr="005C139B">
        <w:rPr>
          <w:rFonts w:ascii="Times New Roman" w:eastAsia="Times New Roman" w:hAnsi="Times New Roman" w:cs="Times New Roman"/>
          <w:color w:val="252525"/>
          <w:sz w:val="24"/>
          <w:szCs w:val="24"/>
        </w:rPr>
        <w:t xml:space="preserve"> </w:t>
      </w:r>
    </w:p>
    <w:p w14:paraId="704853FB" w14:textId="4C154CCE" w:rsidR="00ED77C1" w:rsidRPr="005C139B" w:rsidRDefault="003079F4" w:rsidP="00ED77C1">
      <w:pPr>
        <w:numPr>
          <w:ilvl w:val="0"/>
          <w:numId w:val="1"/>
        </w:numPr>
        <w:spacing w:before="72" w:after="72" w:line="240" w:lineRule="auto"/>
        <w:ind w:left="480"/>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Specific</w:t>
      </w:r>
      <w:r w:rsidR="00144A08" w:rsidRPr="005C139B">
        <w:rPr>
          <w:rFonts w:ascii="Times New Roman" w:eastAsia="Times New Roman" w:hAnsi="Times New Roman" w:cs="Times New Roman"/>
          <w:color w:val="252525"/>
          <w:sz w:val="24"/>
          <w:szCs w:val="24"/>
        </w:rPr>
        <w:t xml:space="preserve"> </w:t>
      </w:r>
      <w:r w:rsidR="00ED77C1" w:rsidRPr="005C139B">
        <w:rPr>
          <w:rFonts w:ascii="Times New Roman" w:eastAsia="Times New Roman" w:hAnsi="Times New Roman" w:cs="Times New Roman"/>
          <w:color w:val="252525"/>
          <w:sz w:val="24"/>
          <w:szCs w:val="24"/>
        </w:rPr>
        <w:t>waste energy property</w:t>
      </w:r>
      <w:r>
        <w:rPr>
          <w:rFonts w:ascii="Times New Roman" w:eastAsia="Times New Roman" w:hAnsi="Times New Roman" w:cs="Times New Roman"/>
          <w:color w:val="252525"/>
          <w:sz w:val="24"/>
          <w:szCs w:val="24"/>
        </w:rPr>
        <w:t>, and</w:t>
      </w:r>
    </w:p>
    <w:p w14:paraId="7AFF7B34" w14:textId="68304756" w:rsidR="00ED77C1" w:rsidRPr="00B8152E" w:rsidRDefault="00ED77C1" w:rsidP="00E933D7">
      <w:pPr>
        <w:numPr>
          <w:ilvl w:val="0"/>
          <w:numId w:val="1"/>
        </w:numPr>
        <w:spacing w:before="72" w:after="72" w:line="240" w:lineRule="auto"/>
        <w:ind w:left="480"/>
        <w:rPr>
          <w:rFonts w:ascii="Times New Roman" w:hAnsi="Times New Roman" w:cs="Times New Roman"/>
          <w:sz w:val="24"/>
          <w:szCs w:val="24"/>
        </w:rPr>
      </w:pPr>
      <w:r w:rsidRPr="00E933D7">
        <w:rPr>
          <w:rFonts w:ascii="Times New Roman" w:eastAsia="Times New Roman" w:hAnsi="Times New Roman" w:cs="Times New Roman"/>
          <w:color w:val="252525"/>
          <w:sz w:val="24"/>
          <w:szCs w:val="24"/>
        </w:rPr>
        <w:t xml:space="preserve">Certain offshore wind facilities with construction beginning before 2026. </w:t>
      </w:r>
    </w:p>
    <w:p w14:paraId="4C06F16D" w14:textId="77777777" w:rsidR="006A4E9D" w:rsidRDefault="006A4E9D" w:rsidP="003079F4">
      <w:pPr>
        <w:spacing w:before="72" w:after="72" w:line="240" w:lineRule="auto"/>
        <w:ind w:left="120"/>
        <w:rPr>
          <w:rFonts w:ascii="Times New Roman" w:eastAsia="Times New Roman" w:hAnsi="Times New Roman" w:cs="Times New Roman"/>
          <w:color w:val="252525"/>
          <w:sz w:val="24"/>
          <w:szCs w:val="24"/>
        </w:rPr>
      </w:pPr>
    </w:p>
    <w:p w14:paraId="775B078A" w14:textId="3368212B" w:rsidR="003079F4" w:rsidRPr="00E933D7" w:rsidRDefault="006A4E9D" w:rsidP="00B8152E">
      <w:pPr>
        <w:spacing w:before="72" w:after="72" w:line="240" w:lineRule="auto"/>
        <w:ind w:left="120"/>
        <w:rPr>
          <w:rFonts w:ascii="Times New Roman" w:hAnsi="Times New Roman" w:cs="Times New Roman"/>
          <w:sz w:val="24"/>
          <w:szCs w:val="24"/>
        </w:rPr>
      </w:pPr>
      <w:r>
        <w:rPr>
          <w:rFonts w:ascii="Times New Roman" w:eastAsia="Times New Roman" w:hAnsi="Times New Roman" w:cs="Times New Roman"/>
          <w:color w:val="252525"/>
          <w:sz w:val="24"/>
          <w:szCs w:val="24"/>
        </w:rPr>
        <w:t>I</w:t>
      </w:r>
      <w:r w:rsidR="003079F4" w:rsidRPr="005C139B">
        <w:rPr>
          <w:rFonts w:ascii="Times New Roman" w:eastAsia="Times New Roman" w:hAnsi="Times New Roman" w:cs="Times New Roman"/>
          <w:color w:val="252525"/>
          <w:sz w:val="24"/>
          <w:szCs w:val="24"/>
        </w:rPr>
        <w:t xml:space="preserve">f construction </w:t>
      </w:r>
      <w:r>
        <w:rPr>
          <w:rFonts w:ascii="Times New Roman" w:eastAsia="Times New Roman" w:hAnsi="Times New Roman" w:cs="Times New Roman"/>
          <w:color w:val="252525"/>
          <w:sz w:val="24"/>
          <w:szCs w:val="24"/>
        </w:rPr>
        <w:t>of</w:t>
      </w:r>
      <w:r w:rsidRPr="006A4E9D">
        <w:rPr>
          <w:rFonts w:ascii="Times New Roman" w:eastAsia="Times New Roman" w:hAnsi="Times New Roman" w:cs="Times New Roman"/>
          <w:color w:val="252525"/>
          <w:sz w:val="24"/>
          <w:szCs w:val="24"/>
        </w:rPr>
        <w:t xml:space="preserve"> </w:t>
      </w:r>
      <w:r>
        <w:rPr>
          <w:rFonts w:ascii="Times New Roman" w:eastAsia="Times New Roman" w:hAnsi="Times New Roman" w:cs="Times New Roman"/>
          <w:color w:val="252525"/>
          <w:sz w:val="24"/>
          <w:szCs w:val="24"/>
        </w:rPr>
        <w:t>e</w:t>
      </w:r>
      <w:r w:rsidRPr="005C139B">
        <w:rPr>
          <w:rFonts w:ascii="Times New Roman" w:eastAsia="Times New Roman" w:hAnsi="Times New Roman" w:cs="Times New Roman"/>
          <w:color w:val="252525"/>
          <w:sz w:val="24"/>
          <w:szCs w:val="24"/>
        </w:rPr>
        <w:t>quipment</w:t>
      </w:r>
      <w:r>
        <w:rPr>
          <w:rFonts w:ascii="Times New Roman" w:eastAsia="Times New Roman" w:hAnsi="Times New Roman" w:cs="Times New Roman"/>
          <w:color w:val="252525"/>
          <w:sz w:val="24"/>
          <w:szCs w:val="24"/>
        </w:rPr>
        <w:t xml:space="preserve"> </w:t>
      </w:r>
      <w:r w:rsidRPr="005C139B">
        <w:rPr>
          <w:rFonts w:ascii="Times New Roman" w:eastAsia="Times New Roman" w:hAnsi="Times New Roman" w:cs="Times New Roman"/>
          <w:color w:val="252525"/>
          <w:sz w:val="24"/>
          <w:szCs w:val="24"/>
        </w:rPr>
        <w:t xml:space="preserve">that uses solar energy to generate electricity for heating and cooling structures, for hot water, or </w:t>
      </w:r>
      <w:r>
        <w:rPr>
          <w:rFonts w:ascii="Times New Roman" w:eastAsia="Times New Roman" w:hAnsi="Times New Roman" w:cs="Times New Roman"/>
          <w:color w:val="252525"/>
          <w:sz w:val="24"/>
          <w:szCs w:val="24"/>
        </w:rPr>
        <w:t xml:space="preserve">for </w:t>
      </w:r>
      <w:r w:rsidRPr="005C139B">
        <w:rPr>
          <w:rFonts w:ascii="Times New Roman" w:eastAsia="Times New Roman" w:hAnsi="Times New Roman" w:cs="Times New Roman"/>
          <w:color w:val="252525"/>
          <w:sz w:val="24"/>
          <w:szCs w:val="24"/>
        </w:rPr>
        <w:t>heat used in industrial or commercial processes</w:t>
      </w:r>
      <w:r>
        <w:rPr>
          <w:rFonts w:ascii="Times New Roman" w:eastAsia="Times New Roman" w:hAnsi="Times New Roman" w:cs="Times New Roman"/>
          <w:color w:val="252525"/>
          <w:sz w:val="24"/>
          <w:szCs w:val="24"/>
        </w:rPr>
        <w:t xml:space="preserve"> begins this year</w:t>
      </w:r>
      <w:r w:rsidR="003079F4" w:rsidRPr="005C139B">
        <w:rPr>
          <w:rFonts w:ascii="Times New Roman" w:eastAsia="Times New Roman" w:hAnsi="Times New Roman" w:cs="Times New Roman"/>
          <w:color w:val="252525"/>
          <w:sz w:val="24"/>
          <w:szCs w:val="24"/>
        </w:rPr>
        <w:t>, the credit rate is 26% and is reduced to 22% for construction beginning in calendar year 2023; and, unless the property is placed in service before 2026, the credit rate is 10%.</w:t>
      </w:r>
      <w:r w:rsidR="003079F4">
        <w:rPr>
          <w:rFonts w:ascii="Times New Roman" w:eastAsia="Times New Roman" w:hAnsi="Times New Roman" w:cs="Times New Roman"/>
          <w:color w:val="252525"/>
          <w:sz w:val="24"/>
          <w:szCs w:val="24"/>
        </w:rPr>
        <w:t xml:space="preserve"> For the </w:t>
      </w:r>
      <w:r>
        <w:rPr>
          <w:rFonts w:ascii="Times New Roman" w:eastAsia="Times New Roman" w:hAnsi="Times New Roman" w:cs="Times New Roman"/>
          <w:color w:val="252525"/>
          <w:sz w:val="24"/>
          <w:szCs w:val="24"/>
        </w:rPr>
        <w:t>other types of property</w:t>
      </w:r>
      <w:r w:rsidR="003079F4">
        <w:rPr>
          <w:rFonts w:ascii="Times New Roman" w:eastAsia="Times New Roman" w:hAnsi="Times New Roman" w:cs="Times New Roman"/>
          <w:color w:val="252525"/>
          <w:sz w:val="24"/>
          <w:szCs w:val="24"/>
        </w:rPr>
        <w:t xml:space="preserve"> mentioned above, i</w:t>
      </w:r>
      <w:r w:rsidR="003079F4" w:rsidRPr="005C139B">
        <w:rPr>
          <w:rFonts w:ascii="Times New Roman" w:eastAsia="Times New Roman" w:hAnsi="Times New Roman" w:cs="Times New Roman"/>
          <w:color w:val="252525"/>
          <w:sz w:val="24"/>
          <w:szCs w:val="24"/>
        </w:rPr>
        <w:t xml:space="preserve">f construction </w:t>
      </w:r>
      <w:r w:rsidR="003079F4">
        <w:rPr>
          <w:rFonts w:ascii="Times New Roman" w:eastAsia="Times New Roman" w:hAnsi="Times New Roman" w:cs="Times New Roman"/>
          <w:color w:val="252525"/>
          <w:sz w:val="24"/>
          <w:szCs w:val="24"/>
        </w:rPr>
        <w:t>begins this year</w:t>
      </w:r>
      <w:r w:rsidR="003079F4" w:rsidRPr="005C139B">
        <w:rPr>
          <w:rFonts w:ascii="Times New Roman" w:eastAsia="Times New Roman" w:hAnsi="Times New Roman" w:cs="Times New Roman"/>
          <w:color w:val="252525"/>
          <w:sz w:val="24"/>
          <w:szCs w:val="24"/>
        </w:rPr>
        <w:t>, the credit rate is 26%, and is reduced to 22% for construction beginning in 2023; and, unless the property is placed in service before 2026, the credit rate is 0%.</w:t>
      </w:r>
      <w:r w:rsidR="003079F4">
        <w:rPr>
          <w:rFonts w:ascii="Times New Roman" w:eastAsia="Times New Roman" w:hAnsi="Times New Roman" w:cs="Times New Roman"/>
          <w:color w:val="252525"/>
          <w:sz w:val="24"/>
          <w:szCs w:val="24"/>
        </w:rPr>
        <w:t xml:space="preserve"> The only exception to this is </w:t>
      </w:r>
      <w:r>
        <w:rPr>
          <w:rFonts w:ascii="Times New Roman" w:eastAsia="Times New Roman" w:hAnsi="Times New Roman" w:cs="Times New Roman"/>
          <w:color w:val="252525"/>
          <w:sz w:val="24"/>
          <w:szCs w:val="24"/>
        </w:rPr>
        <w:t>the final type of property mentioned above —</w:t>
      </w:r>
      <w:r w:rsidR="00CB186A">
        <w:rPr>
          <w:rFonts w:ascii="Times New Roman" w:eastAsia="Times New Roman" w:hAnsi="Times New Roman" w:cs="Times New Roman"/>
          <w:color w:val="252525"/>
          <w:sz w:val="24"/>
          <w:szCs w:val="24"/>
        </w:rPr>
        <w:t>certain</w:t>
      </w:r>
      <w:r w:rsidR="003079F4">
        <w:rPr>
          <w:rFonts w:ascii="Times New Roman" w:eastAsia="Times New Roman" w:hAnsi="Times New Roman" w:cs="Times New Roman"/>
          <w:color w:val="252525"/>
          <w:sz w:val="24"/>
          <w:szCs w:val="24"/>
        </w:rPr>
        <w:t xml:space="preserve"> offshore wind facilities</w:t>
      </w:r>
      <w:r>
        <w:rPr>
          <w:rFonts w:ascii="Times New Roman" w:eastAsia="Times New Roman" w:hAnsi="Times New Roman" w:cs="Times New Roman"/>
          <w:color w:val="252525"/>
          <w:sz w:val="24"/>
          <w:szCs w:val="24"/>
        </w:rPr>
        <w:t>. This type of property</w:t>
      </w:r>
      <w:r w:rsidR="003079F4">
        <w:rPr>
          <w:rFonts w:ascii="Times New Roman" w:eastAsia="Times New Roman" w:hAnsi="Times New Roman" w:cs="Times New Roman"/>
          <w:color w:val="252525"/>
          <w:sz w:val="24"/>
          <w:szCs w:val="24"/>
        </w:rPr>
        <w:t xml:space="preserve"> </w:t>
      </w:r>
      <w:r>
        <w:rPr>
          <w:rFonts w:ascii="Times New Roman" w:eastAsia="Times New Roman" w:hAnsi="Times New Roman" w:cs="Times New Roman"/>
          <w:color w:val="252525"/>
          <w:sz w:val="24"/>
          <w:szCs w:val="24"/>
        </w:rPr>
        <w:t xml:space="preserve">isn’t </w:t>
      </w:r>
      <w:r w:rsidR="003079F4">
        <w:rPr>
          <w:rFonts w:ascii="Times New Roman" w:eastAsia="Times New Roman" w:hAnsi="Times New Roman" w:cs="Times New Roman"/>
          <w:color w:val="252525"/>
          <w:sz w:val="24"/>
          <w:szCs w:val="24"/>
        </w:rPr>
        <w:t>subject to a phase-out.</w:t>
      </w:r>
    </w:p>
    <w:p w14:paraId="50C9B172" w14:textId="77777777" w:rsidR="001E230F" w:rsidRPr="005C139B" w:rsidRDefault="001E230F">
      <w:pPr>
        <w:rPr>
          <w:rFonts w:ascii="Times New Roman" w:hAnsi="Times New Roman" w:cs="Times New Roman"/>
          <w:sz w:val="24"/>
          <w:szCs w:val="24"/>
        </w:rPr>
      </w:pPr>
    </w:p>
    <w:p w14:paraId="4E6B28C4" w14:textId="16C36211" w:rsidR="008522A2" w:rsidRPr="005C139B" w:rsidRDefault="008522A2" w:rsidP="008522A2">
      <w:pPr>
        <w:rPr>
          <w:rFonts w:ascii="Times New Roman" w:eastAsia="Times New Roman" w:hAnsi="Times New Roman" w:cs="Times New Roman"/>
          <w:color w:val="252525"/>
          <w:sz w:val="24"/>
          <w:szCs w:val="24"/>
        </w:rPr>
      </w:pPr>
      <w:r w:rsidRPr="005C139B">
        <w:rPr>
          <w:rFonts w:ascii="Times New Roman" w:hAnsi="Times New Roman" w:cs="Times New Roman"/>
          <w:sz w:val="24"/>
          <w:szCs w:val="24"/>
        </w:rPr>
        <w:lastRenderedPageBreak/>
        <w:t xml:space="preserve">The business energy credit is equal to </w:t>
      </w:r>
      <w:r w:rsidR="005319E4" w:rsidRPr="005C139B">
        <w:rPr>
          <w:rFonts w:ascii="Times New Roman" w:hAnsi="Times New Roman" w:cs="Times New Roman"/>
          <w:sz w:val="24"/>
          <w:szCs w:val="24"/>
        </w:rPr>
        <w:t>1</w:t>
      </w:r>
      <w:r w:rsidRPr="005C139B">
        <w:rPr>
          <w:rFonts w:ascii="Times New Roman" w:hAnsi="Times New Roman" w:cs="Times New Roman"/>
          <w:sz w:val="24"/>
          <w:szCs w:val="24"/>
        </w:rPr>
        <w:t>0% of the following types of property</w:t>
      </w:r>
      <w:r w:rsidR="00CB186A">
        <w:rPr>
          <w:rFonts w:ascii="Times New Roman" w:hAnsi="Times New Roman" w:cs="Times New Roman"/>
          <w:sz w:val="24"/>
          <w:szCs w:val="24"/>
        </w:rPr>
        <w:t xml:space="preserve"> </w:t>
      </w:r>
      <w:r w:rsidR="00CB186A" w:rsidRPr="005C139B">
        <w:rPr>
          <w:rFonts w:ascii="Times New Roman" w:eastAsia="Times New Roman" w:hAnsi="Times New Roman" w:cs="Times New Roman"/>
          <w:color w:val="252525"/>
          <w:sz w:val="24"/>
          <w:szCs w:val="24"/>
        </w:rPr>
        <w:t>with construction beginning before 2024</w:t>
      </w:r>
      <w:r w:rsidRPr="005C139B">
        <w:rPr>
          <w:rFonts w:ascii="Times New Roman" w:hAnsi="Times New Roman" w:cs="Times New Roman"/>
          <w:sz w:val="24"/>
          <w:szCs w:val="24"/>
        </w:rPr>
        <w:t>:</w:t>
      </w:r>
    </w:p>
    <w:p w14:paraId="4C30B569" w14:textId="2A254B42" w:rsidR="000C54DA" w:rsidRPr="005C139B" w:rsidRDefault="00CB186A" w:rsidP="000C54DA">
      <w:pPr>
        <w:numPr>
          <w:ilvl w:val="0"/>
          <w:numId w:val="2"/>
        </w:numPr>
        <w:spacing w:before="72" w:after="72" w:line="240" w:lineRule="auto"/>
        <w:ind w:left="480"/>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Specific</w:t>
      </w:r>
      <w:r w:rsidRPr="005C139B">
        <w:rPr>
          <w:rFonts w:ascii="Times New Roman" w:eastAsia="Times New Roman" w:hAnsi="Times New Roman" w:cs="Times New Roman"/>
          <w:color w:val="252525"/>
          <w:sz w:val="24"/>
          <w:szCs w:val="24"/>
        </w:rPr>
        <w:t xml:space="preserve"> </w:t>
      </w:r>
      <w:r w:rsidR="000C54DA" w:rsidRPr="005C139B">
        <w:rPr>
          <w:rFonts w:ascii="Times New Roman" w:eastAsia="Times New Roman" w:hAnsi="Times New Roman" w:cs="Times New Roman"/>
          <w:color w:val="252525"/>
          <w:sz w:val="24"/>
          <w:szCs w:val="24"/>
        </w:rPr>
        <w:t>equipment that is used to produce, distribute, or use energy derived from a geothermal deposit</w:t>
      </w:r>
      <w:r>
        <w:rPr>
          <w:rFonts w:ascii="Times New Roman" w:eastAsia="Times New Roman" w:hAnsi="Times New Roman" w:cs="Times New Roman"/>
          <w:color w:val="252525"/>
          <w:sz w:val="24"/>
          <w:szCs w:val="24"/>
        </w:rPr>
        <w:t>,</w:t>
      </w:r>
    </w:p>
    <w:p w14:paraId="03AC4B73" w14:textId="62CB41A5" w:rsidR="000C54DA" w:rsidRPr="005C139B" w:rsidRDefault="000C54DA" w:rsidP="000C54DA">
      <w:pPr>
        <w:numPr>
          <w:ilvl w:val="0"/>
          <w:numId w:val="2"/>
        </w:numPr>
        <w:spacing w:before="72" w:after="72" w:line="240" w:lineRule="auto"/>
        <w:ind w:left="480"/>
        <w:rPr>
          <w:rFonts w:ascii="Times New Roman" w:eastAsia="Times New Roman" w:hAnsi="Times New Roman" w:cs="Times New Roman"/>
          <w:color w:val="252525"/>
          <w:sz w:val="24"/>
          <w:szCs w:val="24"/>
        </w:rPr>
      </w:pPr>
      <w:r w:rsidRPr="005C139B">
        <w:rPr>
          <w:rFonts w:ascii="Times New Roman" w:eastAsia="Times New Roman" w:hAnsi="Times New Roman" w:cs="Times New Roman"/>
          <w:color w:val="252525"/>
          <w:sz w:val="24"/>
          <w:szCs w:val="24"/>
        </w:rPr>
        <w:t>Certain cogeneration property</w:t>
      </w:r>
      <w:r w:rsidR="00CB186A">
        <w:rPr>
          <w:rFonts w:ascii="Times New Roman" w:eastAsia="Times New Roman" w:hAnsi="Times New Roman" w:cs="Times New Roman"/>
          <w:color w:val="252525"/>
          <w:sz w:val="24"/>
          <w:szCs w:val="24"/>
        </w:rPr>
        <w:t>,</w:t>
      </w:r>
    </w:p>
    <w:p w14:paraId="03D72724" w14:textId="699FA26A" w:rsidR="000C54DA" w:rsidRPr="005C139B" w:rsidRDefault="00CB186A" w:rsidP="000C54DA">
      <w:pPr>
        <w:numPr>
          <w:ilvl w:val="0"/>
          <w:numId w:val="2"/>
        </w:numPr>
        <w:spacing w:before="72" w:after="72" w:line="240" w:lineRule="auto"/>
        <w:ind w:left="480"/>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Some</w:t>
      </w:r>
      <w:r w:rsidRPr="005C139B">
        <w:rPr>
          <w:rFonts w:ascii="Times New Roman" w:eastAsia="Times New Roman" w:hAnsi="Times New Roman" w:cs="Times New Roman"/>
          <w:color w:val="252525"/>
          <w:sz w:val="24"/>
          <w:szCs w:val="24"/>
        </w:rPr>
        <w:t xml:space="preserve"> </w:t>
      </w:r>
      <w:r w:rsidR="000C54DA" w:rsidRPr="005C139B">
        <w:rPr>
          <w:rFonts w:ascii="Times New Roman" w:eastAsia="Times New Roman" w:hAnsi="Times New Roman" w:cs="Times New Roman"/>
          <w:color w:val="252525"/>
          <w:sz w:val="24"/>
          <w:szCs w:val="24"/>
        </w:rPr>
        <w:t>microturbine property</w:t>
      </w:r>
      <w:r>
        <w:rPr>
          <w:rFonts w:ascii="Times New Roman" w:eastAsia="Times New Roman" w:hAnsi="Times New Roman" w:cs="Times New Roman"/>
          <w:color w:val="252525"/>
          <w:sz w:val="24"/>
          <w:szCs w:val="24"/>
        </w:rPr>
        <w:t>, and</w:t>
      </w:r>
    </w:p>
    <w:p w14:paraId="70053192" w14:textId="2C26A9E8" w:rsidR="000C54DA" w:rsidRPr="005C139B" w:rsidRDefault="000C54DA" w:rsidP="000C54DA">
      <w:pPr>
        <w:numPr>
          <w:ilvl w:val="0"/>
          <w:numId w:val="2"/>
        </w:numPr>
        <w:spacing w:before="72" w:after="72" w:line="240" w:lineRule="auto"/>
        <w:ind w:left="480"/>
        <w:rPr>
          <w:rFonts w:ascii="Times New Roman" w:eastAsia="Times New Roman" w:hAnsi="Times New Roman" w:cs="Times New Roman"/>
          <w:color w:val="252525"/>
          <w:sz w:val="24"/>
          <w:szCs w:val="24"/>
        </w:rPr>
      </w:pPr>
      <w:r w:rsidRPr="005C139B">
        <w:rPr>
          <w:rFonts w:ascii="Times New Roman" w:eastAsia="Times New Roman" w:hAnsi="Times New Roman" w:cs="Times New Roman"/>
          <w:color w:val="252525"/>
          <w:sz w:val="24"/>
          <w:szCs w:val="24"/>
        </w:rPr>
        <w:t>Certain equipment that uses the ground</w:t>
      </w:r>
      <w:r w:rsidR="00CB186A">
        <w:rPr>
          <w:rFonts w:ascii="Times New Roman" w:eastAsia="Times New Roman" w:hAnsi="Times New Roman" w:cs="Times New Roman"/>
          <w:color w:val="252525"/>
          <w:sz w:val="24"/>
          <w:szCs w:val="24"/>
        </w:rPr>
        <w:t>,</w:t>
      </w:r>
      <w:r w:rsidRPr="005C139B">
        <w:rPr>
          <w:rFonts w:ascii="Times New Roman" w:eastAsia="Times New Roman" w:hAnsi="Times New Roman" w:cs="Times New Roman"/>
          <w:color w:val="252525"/>
          <w:sz w:val="24"/>
          <w:szCs w:val="24"/>
        </w:rPr>
        <w:t xml:space="preserve"> or ground water</w:t>
      </w:r>
      <w:r w:rsidR="00CB186A">
        <w:rPr>
          <w:rFonts w:ascii="Times New Roman" w:eastAsia="Times New Roman" w:hAnsi="Times New Roman" w:cs="Times New Roman"/>
          <w:color w:val="252525"/>
          <w:sz w:val="24"/>
          <w:szCs w:val="24"/>
        </w:rPr>
        <w:t>,</w:t>
      </w:r>
      <w:r w:rsidRPr="005C139B">
        <w:rPr>
          <w:rFonts w:ascii="Times New Roman" w:eastAsia="Times New Roman" w:hAnsi="Times New Roman" w:cs="Times New Roman"/>
          <w:color w:val="252525"/>
          <w:sz w:val="24"/>
          <w:szCs w:val="24"/>
        </w:rPr>
        <w:t xml:space="preserve"> to heat or cool a structure.</w:t>
      </w:r>
    </w:p>
    <w:p w14:paraId="4EE1A336" w14:textId="5A2BAB20" w:rsidR="00CA3F57" w:rsidRPr="005C139B" w:rsidRDefault="003954C9" w:rsidP="00CA3F57">
      <w:pPr>
        <w:spacing w:before="264" w:after="264" w:line="240" w:lineRule="auto"/>
        <w:rPr>
          <w:rFonts w:ascii="Times New Roman" w:eastAsia="Times New Roman" w:hAnsi="Times New Roman" w:cs="Times New Roman"/>
          <w:b/>
          <w:bCs/>
          <w:color w:val="252525"/>
          <w:sz w:val="24"/>
          <w:szCs w:val="24"/>
        </w:rPr>
      </w:pPr>
      <w:r>
        <w:rPr>
          <w:rFonts w:ascii="Times New Roman" w:eastAsia="Times New Roman" w:hAnsi="Times New Roman" w:cs="Times New Roman"/>
          <w:b/>
          <w:bCs/>
          <w:color w:val="252525"/>
          <w:sz w:val="24"/>
          <w:szCs w:val="24"/>
        </w:rPr>
        <w:t>The downside and the upside</w:t>
      </w:r>
    </w:p>
    <w:p w14:paraId="413F3D49" w14:textId="4FFA1414" w:rsidR="00CA3F57" w:rsidRPr="005C139B" w:rsidRDefault="000D2167" w:rsidP="009719E6">
      <w:pPr>
        <w:spacing w:before="264" w:after="264" w:line="240" w:lineRule="auto"/>
        <w:rPr>
          <w:rFonts w:ascii="Times New Roman" w:eastAsia="Times New Roman" w:hAnsi="Times New Roman" w:cs="Times New Roman"/>
          <w:color w:val="252525"/>
          <w:sz w:val="24"/>
          <w:szCs w:val="24"/>
        </w:rPr>
      </w:pPr>
      <w:r w:rsidRPr="005C139B">
        <w:rPr>
          <w:rFonts w:ascii="Times New Roman" w:eastAsia="Times New Roman" w:hAnsi="Times New Roman" w:cs="Times New Roman"/>
          <w:color w:val="252525"/>
          <w:sz w:val="24"/>
          <w:szCs w:val="24"/>
        </w:rPr>
        <w:t>Th</w:t>
      </w:r>
      <w:r w:rsidR="00CA3F57" w:rsidRPr="005C139B">
        <w:rPr>
          <w:rFonts w:ascii="Times New Roman" w:eastAsia="Times New Roman" w:hAnsi="Times New Roman" w:cs="Times New Roman"/>
          <w:color w:val="252525"/>
          <w:sz w:val="24"/>
          <w:szCs w:val="24"/>
        </w:rPr>
        <w:t>ere are several restrictions</w:t>
      </w:r>
      <w:r w:rsidR="001E1474" w:rsidRPr="005C139B">
        <w:rPr>
          <w:rFonts w:ascii="Times New Roman" w:eastAsia="Times New Roman" w:hAnsi="Times New Roman" w:cs="Times New Roman"/>
          <w:color w:val="252525"/>
          <w:sz w:val="24"/>
          <w:szCs w:val="24"/>
        </w:rPr>
        <w:t xml:space="preserve"> related to the credit</w:t>
      </w:r>
      <w:r w:rsidR="00CA3F57" w:rsidRPr="005C139B">
        <w:rPr>
          <w:rFonts w:ascii="Times New Roman" w:eastAsia="Times New Roman" w:hAnsi="Times New Roman" w:cs="Times New Roman"/>
          <w:color w:val="252525"/>
          <w:sz w:val="24"/>
          <w:szCs w:val="24"/>
        </w:rPr>
        <w:t xml:space="preserve">. For example, </w:t>
      </w:r>
      <w:r w:rsidR="001E1474" w:rsidRPr="005C139B">
        <w:rPr>
          <w:rFonts w:ascii="Times New Roman" w:eastAsia="Times New Roman" w:hAnsi="Times New Roman" w:cs="Times New Roman"/>
          <w:color w:val="252525"/>
          <w:sz w:val="24"/>
          <w:szCs w:val="24"/>
        </w:rPr>
        <w:t>it</w:t>
      </w:r>
      <w:r w:rsidR="00CA3F57" w:rsidRPr="005C139B">
        <w:rPr>
          <w:rFonts w:ascii="Times New Roman" w:eastAsia="Times New Roman" w:hAnsi="Times New Roman" w:cs="Times New Roman"/>
          <w:color w:val="252525"/>
          <w:sz w:val="24"/>
          <w:szCs w:val="24"/>
        </w:rPr>
        <w:t xml:space="preserve"> isn't available for property acquired with certain non-recourse financing. Additionally, if the credit is allowable for property, the “basis” </w:t>
      </w:r>
      <w:r w:rsidR="006D31FE" w:rsidRPr="005C139B">
        <w:rPr>
          <w:rFonts w:ascii="Times New Roman" w:eastAsia="Times New Roman" w:hAnsi="Times New Roman" w:cs="Times New Roman"/>
          <w:color w:val="252525"/>
          <w:sz w:val="24"/>
          <w:szCs w:val="24"/>
        </w:rPr>
        <w:t xml:space="preserve">of that property </w:t>
      </w:r>
      <w:r w:rsidR="00CA3F57" w:rsidRPr="005C139B">
        <w:rPr>
          <w:rFonts w:ascii="Times New Roman" w:eastAsia="Times New Roman" w:hAnsi="Times New Roman" w:cs="Times New Roman"/>
          <w:color w:val="252525"/>
          <w:sz w:val="24"/>
          <w:szCs w:val="24"/>
        </w:rPr>
        <w:t>is reduced by 50% of the allowable credit.</w:t>
      </w:r>
    </w:p>
    <w:p w14:paraId="321EFE39" w14:textId="22889682" w:rsidR="00CA3F57" w:rsidRPr="005C139B" w:rsidRDefault="00CA3F57" w:rsidP="009719E6">
      <w:pPr>
        <w:spacing w:before="264" w:after="264" w:line="240" w:lineRule="auto"/>
        <w:rPr>
          <w:rFonts w:ascii="Times New Roman" w:eastAsia="Times New Roman" w:hAnsi="Times New Roman" w:cs="Times New Roman"/>
          <w:color w:val="252525"/>
          <w:sz w:val="24"/>
          <w:szCs w:val="24"/>
        </w:rPr>
      </w:pPr>
      <w:r w:rsidRPr="005C139B">
        <w:rPr>
          <w:rFonts w:ascii="Times New Roman" w:eastAsia="Times New Roman" w:hAnsi="Times New Roman" w:cs="Times New Roman"/>
          <w:color w:val="252525"/>
          <w:sz w:val="24"/>
          <w:szCs w:val="24"/>
        </w:rPr>
        <w:t>On the other hand, a favorable aspect is that, for the same property, the credit can sometimes be used in combination with other benefits</w:t>
      </w:r>
      <w:r w:rsidR="006D31FE" w:rsidRPr="005C139B">
        <w:rPr>
          <w:rFonts w:ascii="Times New Roman" w:eastAsia="Times New Roman" w:hAnsi="Times New Roman" w:cs="Times New Roman"/>
          <w:color w:val="252525"/>
          <w:sz w:val="24"/>
          <w:szCs w:val="24"/>
        </w:rPr>
        <w:t xml:space="preserve">. </w:t>
      </w:r>
      <w:r w:rsidR="009400F8" w:rsidRPr="005C139B">
        <w:rPr>
          <w:rFonts w:ascii="Times New Roman" w:eastAsia="Times New Roman" w:hAnsi="Times New Roman" w:cs="Times New Roman"/>
          <w:color w:val="252525"/>
          <w:sz w:val="24"/>
          <w:szCs w:val="24"/>
        </w:rPr>
        <w:t>Examples include</w:t>
      </w:r>
      <w:r w:rsidRPr="005C139B">
        <w:rPr>
          <w:rFonts w:ascii="Times New Roman" w:eastAsia="Times New Roman" w:hAnsi="Times New Roman" w:cs="Times New Roman"/>
          <w:color w:val="252525"/>
          <w:sz w:val="24"/>
          <w:szCs w:val="24"/>
        </w:rPr>
        <w:t xml:space="preserve"> federal income tax expensing, state tax credits or utility rebates.</w:t>
      </w:r>
    </w:p>
    <w:p w14:paraId="6A0BAF57" w14:textId="6250E440" w:rsidR="00CA3F57" w:rsidRDefault="00CA3F57" w:rsidP="009719E6">
      <w:pPr>
        <w:spacing w:before="264" w:after="264" w:line="240" w:lineRule="auto"/>
        <w:rPr>
          <w:rFonts w:ascii="Times New Roman" w:eastAsia="Times New Roman" w:hAnsi="Times New Roman" w:cs="Times New Roman"/>
          <w:color w:val="252525"/>
          <w:sz w:val="24"/>
          <w:szCs w:val="24"/>
        </w:rPr>
      </w:pPr>
      <w:r w:rsidRPr="005C139B">
        <w:rPr>
          <w:rFonts w:ascii="Times New Roman" w:eastAsia="Times New Roman" w:hAnsi="Times New Roman" w:cs="Times New Roman"/>
          <w:color w:val="252525"/>
          <w:sz w:val="24"/>
          <w:szCs w:val="24"/>
        </w:rPr>
        <w:t xml:space="preserve">There are business considerations unrelated to the tax and nontax benefits that may influence your decision to use alternative energy. And even if you choose to use it, you might do so without owning the equipment, which would mean forgoing the business energy credit. </w:t>
      </w:r>
    </w:p>
    <w:p w14:paraId="164660E7" w14:textId="77C350DB" w:rsidR="00B31EC1" w:rsidRPr="00AC729D" w:rsidRDefault="00AC729D" w:rsidP="009719E6">
      <w:pPr>
        <w:spacing w:before="264" w:after="264" w:line="240" w:lineRule="auto"/>
        <w:rPr>
          <w:rFonts w:ascii="Times New Roman" w:eastAsia="Times New Roman" w:hAnsi="Times New Roman" w:cs="Times New Roman"/>
          <w:b/>
          <w:bCs/>
          <w:color w:val="252525"/>
          <w:sz w:val="24"/>
          <w:szCs w:val="24"/>
        </w:rPr>
      </w:pPr>
      <w:r w:rsidRPr="00AC729D">
        <w:rPr>
          <w:rFonts w:ascii="Times New Roman" w:eastAsia="Times New Roman" w:hAnsi="Times New Roman" w:cs="Times New Roman"/>
          <w:b/>
          <w:bCs/>
          <w:color w:val="252525"/>
          <w:sz w:val="24"/>
          <w:szCs w:val="24"/>
        </w:rPr>
        <w:t>Still wondering?</w:t>
      </w:r>
    </w:p>
    <w:p w14:paraId="5D528641" w14:textId="327A56FA" w:rsidR="00CA3F57" w:rsidRPr="005C139B" w:rsidRDefault="00CA3F57" w:rsidP="009719E6">
      <w:pPr>
        <w:spacing w:before="264" w:after="264" w:line="240" w:lineRule="auto"/>
        <w:rPr>
          <w:rFonts w:ascii="Times New Roman" w:eastAsia="Times New Roman" w:hAnsi="Times New Roman" w:cs="Times New Roman"/>
          <w:color w:val="252525"/>
          <w:sz w:val="24"/>
          <w:szCs w:val="24"/>
        </w:rPr>
      </w:pPr>
      <w:r w:rsidRPr="005C139B">
        <w:rPr>
          <w:rFonts w:ascii="Times New Roman" w:eastAsia="Times New Roman" w:hAnsi="Times New Roman" w:cs="Times New Roman"/>
          <w:color w:val="252525"/>
          <w:sz w:val="24"/>
          <w:szCs w:val="24"/>
        </w:rPr>
        <w:t>As you can see, there are many issues to consider</w:t>
      </w:r>
      <w:r w:rsidR="003516CB" w:rsidRPr="005C139B">
        <w:rPr>
          <w:rFonts w:ascii="Times New Roman" w:eastAsia="Times New Roman" w:hAnsi="Times New Roman" w:cs="Times New Roman"/>
          <w:color w:val="252525"/>
          <w:sz w:val="24"/>
          <w:szCs w:val="24"/>
        </w:rPr>
        <w:t xml:space="preserve"> and you may</w:t>
      </w:r>
      <w:r w:rsidR="00AC729D">
        <w:rPr>
          <w:rFonts w:ascii="Times New Roman" w:eastAsia="Times New Roman" w:hAnsi="Times New Roman" w:cs="Times New Roman"/>
          <w:color w:val="252525"/>
          <w:sz w:val="24"/>
          <w:szCs w:val="24"/>
        </w:rPr>
        <w:t xml:space="preserve"> </w:t>
      </w:r>
      <w:r w:rsidR="002D0616">
        <w:rPr>
          <w:rFonts w:ascii="Times New Roman" w:eastAsia="Times New Roman" w:hAnsi="Times New Roman" w:cs="Times New Roman"/>
          <w:color w:val="252525"/>
          <w:sz w:val="24"/>
          <w:szCs w:val="24"/>
        </w:rPr>
        <w:t xml:space="preserve">have remaining </w:t>
      </w:r>
      <w:r w:rsidR="003516CB" w:rsidRPr="005C139B">
        <w:rPr>
          <w:rFonts w:ascii="Times New Roman" w:eastAsia="Times New Roman" w:hAnsi="Times New Roman" w:cs="Times New Roman"/>
          <w:color w:val="252525"/>
          <w:sz w:val="24"/>
          <w:szCs w:val="24"/>
        </w:rPr>
        <w:t xml:space="preserve">questions. </w:t>
      </w:r>
      <w:r w:rsidRPr="005C139B">
        <w:rPr>
          <w:rFonts w:ascii="Times New Roman" w:eastAsia="Times New Roman" w:hAnsi="Times New Roman" w:cs="Times New Roman"/>
          <w:color w:val="252525"/>
          <w:sz w:val="24"/>
          <w:szCs w:val="24"/>
        </w:rPr>
        <w:t xml:space="preserve">We can help you </w:t>
      </w:r>
      <w:r w:rsidR="002D0616">
        <w:rPr>
          <w:rFonts w:ascii="Times New Roman" w:eastAsia="Times New Roman" w:hAnsi="Times New Roman" w:cs="Times New Roman"/>
          <w:color w:val="252525"/>
          <w:sz w:val="24"/>
          <w:szCs w:val="24"/>
        </w:rPr>
        <w:t>work through t</w:t>
      </w:r>
      <w:r w:rsidRPr="005C139B">
        <w:rPr>
          <w:rFonts w:ascii="Times New Roman" w:eastAsia="Times New Roman" w:hAnsi="Times New Roman" w:cs="Times New Roman"/>
          <w:color w:val="252525"/>
          <w:sz w:val="24"/>
          <w:szCs w:val="24"/>
        </w:rPr>
        <w:t xml:space="preserve">hese alternative energy </w:t>
      </w:r>
      <w:r w:rsidR="00C8531C">
        <w:rPr>
          <w:rFonts w:ascii="Times New Roman" w:eastAsia="Times New Roman" w:hAnsi="Times New Roman" w:cs="Times New Roman"/>
          <w:color w:val="252525"/>
          <w:sz w:val="24"/>
          <w:szCs w:val="24"/>
        </w:rPr>
        <w:t xml:space="preserve">tax </w:t>
      </w:r>
      <w:r w:rsidRPr="005C139B">
        <w:rPr>
          <w:rFonts w:ascii="Times New Roman" w:eastAsia="Times New Roman" w:hAnsi="Times New Roman" w:cs="Times New Roman"/>
          <w:color w:val="252525"/>
          <w:sz w:val="24"/>
          <w:szCs w:val="24"/>
        </w:rPr>
        <w:t>considerations.</w:t>
      </w:r>
    </w:p>
    <w:p w14:paraId="5695AFC3" w14:textId="77777777" w:rsidR="00086418" w:rsidRPr="00086418" w:rsidRDefault="00086418" w:rsidP="00086418">
      <w:pPr>
        <w:tabs>
          <w:tab w:val="center" w:pos="4680"/>
        </w:tabs>
        <w:spacing w:before="240" w:after="240" w:line="240" w:lineRule="auto"/>
        <w:rPr>
          <w:rFonts w:ascii="Palatino" w:eastAsia="Times New Roman" w:hAnsi="Palatino" w:cs="Palatino"/>
          <w:sz w:val="24"/>
          <w:szCs w:val="24"/>
        </w:rPr>
      </w:pPr>
      <w:r w:rsidRPr="00086418">
        <w:rPr>
          <w:rFonts w:ascii="Times New Roman" w:eastAsia="Times New Roman" w:hAnsi="Times New Roman" w:cs="Times New Roman"/>
          <w:color w:val="0070C0"/>
          <w:sz w:val="24"/>
          <w:szCs w:val="24"/>
        </w:rPr>
        <w:t xml:space="preserve">© </w:t>
      </w:r>
      <w:r w:rsidRPr="00086418">
        <w:rPr>
          <w:rFonts w:ascii="Times New Roman" w:eastAsia="Times New Roman" w:hAnsi="Times New Roman" w:cs="Times New Roman"/>
          <w:i/>
          <w:iCs/>
          <w:color w:val="0070C0"/>
          <w:sz w:val="24"/>
          <w:szCs w:val="24"/>
        </w:rPr>
        <w:t>2022</w:t>
      </w:r>
    </w:p>
    <w:p w14:paraId="4DD7DFFF" w14:textId="77777777" w:rsidR="001E230F" w:rsidRPr="005C139B" w:rsidRDefault="001E230F">
      <w:pPr>
        <w:rPr>
          <w:rFonts w:ascii="Times New Roman" w:hAnsi="Times New Roman" w:cs="Times New Roman"/>
          <w:sz w:val="24"/>
          <w:szCs w:val="24"/>
        </w:rPr>
      </w:pPr>
    </w:p>
    <w:sectPr w:rsidR="001E230F" w:rsidRPr="005C1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3F64"/>
    <w:multiLevelType w:val="multilevel"/>
    <w:tmpl w:val="60285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035E2"/>
    <w:multiLevelType w:val="multilevel"/>
    <w:tmpl w:val="DBE22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860"/>
    <w:rsid w:val="00025DC9"/>
    <w:rsid w:val="00053922"/>
    <w:rsid w:val="00057492"/>
    <w:rsid w:val="00086418"/>
    <w:rsid w:val="000C0047"/>
    <w:rsid w:val="000C52F3"/>
    <w:rsid w:val="000C54DA"/>
    <w:rsid w:val="000D0427"/>
    <w:rsid w:val="000D2167"/>
    <w:rsid w:val="0012171E"/>
    <w:rsid w:val="00123EF5"/>
    <w:rsid w:val="00144A08"/>
    <w:rsid w:val="00161EBF"/>
    <w:rsid w:val="00176F58"/>
    <w:rsid w:val="00185EAE"/>
    <w:rsid w:val="001E1474"/>
    <w:rsid w:val="001E230F"/>
    <w:rsid w:val="001E7F75"/>
    <w:rsid w:val="00205881"/>
    <w:rsid w:val="00231442"/>
    <w:rsid w:val="002616D6"/>
    <w:rsid w:val="002B2553"/>
    <w:rsid w:val="002B4180"/>
    <w:rsid w:val="002D0616"/>
    <w:rsid w:val="002E25FB"/>
    <w:rsid w:val="0030707B"/>
    <w:rsid w:val="003079F4"/>
    <w:rsid w:val="003274D3"/>
    <w:rsid w:val="003516CB"/>
    <w:rsid w:val="003954C9"/>
    <w:rsid w:val="0039666B"/>
    <w:rsid w:val="003D477E"/>
    <w:rsid w:val="003F3A19"/>
    <w:rsid w:val="00423B4F"/>
    <w:rsid w:val="004B3166"/>
    <w:rsid w:val="004F4CA6"/>
    <w:rsid w:val="005319E4"/>
    <w:rsid w:val="00536B83"/>
    <w:rsid w:val="005973E4"/>
    <w:rsid w:val="005A3F11"/>
    <w:rsid w:val="005C139B"/>
    <w:rsid w:val="005E0298"/>
    <w:rsid w:val="005E3576"/>
    <w:rsid w:val="006157A6"/>
    <w:rsid w:val="00620F54"/>
    <w:rsid w:val="00640860"/>
    <w:rsid w:val="00655088"/>
    <w:rsid w:val="006A1841"/>
    <w:rsid w:val="006A4E9D"/>
    <w:rsid w:val="006B2292"/>
    <w:rsid w:val="006D31FE"/>
    <w:rsid w:val="00762D03"/>
    <w:rsid w:val="007866F9"/>
    <w:rsid w:val="007A3FC8"/>
    <w:rsid w:val="007A6425"/>
    <w:rsid w:val="007C123F"/>
    <w:rsid w:val="0081170E"/>
    <w:rsid w:val="008522A2"/>
    <w:rsid w:val="00884012"/>
    <w:rsid w:val="008B0C9A"/>
    <w:rsid w:val="008B4031"/>
    <w:rsid w:val="008C0028"/>
    <w:rsid w:val="008C7E65"/>
    <w:rsid w:val="008D794C"/>
    <w:rsid w:val="008D7D6A"/>
    <w:rsid w:val="009400F8"/>
    <w:rsid w:val="009719E6"/>
    <w:rsid w:val="009B33D6"/>
    <w:rsid w:val="00A16821"/>
    <w:rsid w:val="00A42758"/>
    <w:rsid w:val="00A54291"/>
    <w:rsid w:val="00A64E80"/>
    <w:rsid w:val="00AA7815"/>
    <w:rsid w:val="00AB1182"/>
    <w:rsid w:val="00AC1C49"/>
    <w:rsid w:val="00AC729D"/>
    <w:rsid w:val="00B31EC1"/>
    <w:rsid w:val="00B8152E"/>
    <w:rsid w:val="00B92D23"/>
    <w:rsid w:val="00BA2F5D"/>
    <w:rsid w:val="00BC7DA0"/>
    <w:rsid w:val="00BD6B6D"/>
    <w:rsid w:val="00BE0E05"/>
    <w:rsid w:val="00BE2374"/>
    <w:rsid w:val="00BF73F0"/>
    <w:rsid w:val="00C11050"/>
    <w:rsid w:val="00C13258"/>
    <w:rsid w:val="00C22FB4"/>
    <w:rsid w:val="00C50935"/>
    <w:rsid w:val="00C5754F"/>
    <w:rsid w:val="00C6466B"/>
    <w:rsid w:val="00C8531C"/>
    <w:rsid w:val="00CA3F57"/>
    <w:rsid w:val="00CB0979"/>
    <w:rsid w:val="00CB186A"/>
    <w:rsid w:val="00CB3E05"/>
    <w:rsid w:val="00CF0A53"/>
    <w:rsid w:val="00D3100A"/>
    <w:rsid w:val="00D47CB3"/>
    <w:rsid w:val="00D50C1A"/>
    <w:rsid w:val="00D61B61"/>
    <w:rsid w:val="00E72F65"/>
    <w:rsid w:val="00E933D7"/>
    <w:rsid w:val="00ED77C1"/>
    <w:rsid w:val="00F00A8C"/>
    <w:rsid w:val="00F17C8C"/>
    <w:rsid w:val="00F34BD1"/>
    <w:rsid w:val="00F45B19"/>
    <w:rsid w:val="00F84E18"/>
    <w:rsid w:val="00F93E39"/>
    <w:rsid w:val="00F9628B"/>
    <w:rsid w:val="00FA217C"/>
    <w:rsid w:val="00FA7611"/>
    <w:rsid w:val="00FB6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9A981"/>
  <w15:chartTrackingRefBased/>
  <w15:docId w15:val="{01C6CECB-AADF-4F2D-9D07-EA7E3F7B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F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F57"/>
    <w:pPr>
      <w:ind w:left="720"/>
      <w:contextualSpacing/>
    </w:pPr>
  </w:style>
  <w:style w:type="character" w:styleId="CommentReference">
    <w:name w:val="annotation reference"/>
    <w:basedOn w:val="DefaultParagraphFont"/>
    <w:uiPriority w:val="99"/>
    <w:semiHidden/>
    <w:unhideWhenUsed/>
    <w:rsid w:val="008B0C9A"/>
    <w:rPr>
      <w:sz w:val="16"/>
      <w:szCs w:val="16"/>
    </w:rPr>
  </w:style>
  <w:style w:type="paragraph" w:styleId="CommentText">
    <w:name w:val="annotation text"/>
    <w:basedOn w:val="Normal"/>
    <w:link w:val="CommentTextChar"/>
    <w:uiPriority w:val="99"/>
    <w:semiHidden/>
    <w:unhideWhenUsed/>
    <w:rsid w:val="008B0C9A"/>
    <w:pPr>
      <w:spacing w:line="240" w:lineRule="auto"/>
    </w:pPr>
    <w:rPr>
      <w:sz w:val="20"/>
      <w:szCs w:val="20"/>
    </w:rPr>
  </w:style>
  <w:style w:type="character" w:customStyle="1" w:styleId="CommentTextChar">
    <w:name w:val="Comment Text Char"/>
    <w:basedOn w:val="DefaultParagraphFont"/>
    <w:link w:val="CommentText"/>
    <w:uiPriority w:val="99"/>
    <w:semiHidden/>
    <w:rsid w:val="008B0C9A"/>
    <w:rPr>
      <w:sz w:val="20"/>
      <w:szCs w:val="20"/>
    </w:rPr>
  </w:style>
  <w:style w:type="paragraph" w:styleId="CommentSubject">
    <w:name w:val="annotation subject"/>
    <w:basedOn w:val="CommentText"/>
    <w:next w:val="CommentText"/>
    <w:link w:val="CommentSubjectChar"/>
    <w:uiPriority w:val="99"/>
    <w:semiHidden/>
    <w:unhideWhenUsed/>
    <w:rsid w:val="008B0C9A"/>
    <w:rPr>
      <w:b/>
      <w:bCs/>
    </w:rPr>
  </w:style>
  <w:style w:type="character" w:customStyle="1" w:styleId="CommentSubjectChar">
    <w:name w:val="Comment Subject Char"/>
    <w:basedOn w:val="CommentTextChar"/>
    <w:link w:val="CommentSubject"/>
    <w:uiPriority w:val="99"/>
    <w:semiHidden/>
    <w:rsid w:val="008B0C9A"/>
    <w:rPr>
      <w:b/>
      <w:bCs/>
      <w:sz w:val="20"/>
      <w:szCs w:val="20"/>
    </w:rPr>
  </w:style>
  <w:style w:type="paragraph" w:styleId="Revision">
    <w:name w:val="Revision"/>
    <w:hidden/>
    <w:uiPriority w:val="99"/>
    <w:semiHidden/>
    <w:rsid w:val="00CF0A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4" ma:contentTypeDescription="Create a new document." ma:contentTypeScope="" ma:versionID="9dfc53686f51b488fe83b474585d855d">
  <xsd:schema xmlns:xsd="http://www.w3.org/2001/XMLSchema" xmlns:xs="http://www.w3.org/2001/XMLSchema" xmlns:p="http://schemas.microsoft.com/office/2006/metadata/properties" xmlns:ns1="http://schemas.microsoft.com/sharepoint/v3" xmlns:ns2="3f3b3382-7005-45e0-adac-ca66d19e4502" xmlns:ns3="5780ff4a-8397-4f78-a7bb-31364ea346f1" targetNamespace="http://schemas.microsoft.com/office/2006/metadata/properties" ma:root="true" ma:fieldsID="7c08865833b5a730e4ccd613e48805f2" ns1:_="" ns2:_="" ns3:_="">
    <xsd:import namespace="http://schemas.microsoft.com/sharepoint/v3"/>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7973D6-973B-4F1F-9377-E9CCACCE892B}">
  <ds:schemaRefs>
    <ds:schemaRef ds:uri="5780ff4a-8397-4f78-a7bb-31364ea346f1"/>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3f3b3382-7005-45e0-adac-ca66d19e4502"/>
    <ds:schemaRef ds:uri="http://schemas.microsoft.com/office/2006/metadata/properties"/>
    <ds:schemaRef ds:uri="http://schemas.microsoft.com/office/infopath/2007/PartnerControl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7B750DF4-2C40-46D6-B6C6-4CF952442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311D54-EECC-4E56-855A-78D74A55F2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Ambord, Teresa J. (TR Product)</dc:creator>
  <cp:keywords/>
  <dc:description/>
  <cp:lastModifiedBy>Ambord, Teresa J. (TR Product)</cp:lastModifiedBy>
  <cp:revision>4</cp:revision>
  <dcterms:created xsi:type="dcterms:W3CDTF">2022-05-18T19:55:00Z</dcterms:created>
  <dcterms:modified xsi:type="dcterms:W3CDTF">2022-05-18T20:01:00Z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